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Family Medicine Leadership Consortium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MEETING MINUTES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February 9-11, 2023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Hyatt Regency Dallas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300 Reunion Blvd.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Dallas, TX 75207</w:t>
      </w:r>
    </w:p>
    <w:p w:rsidR="00000000" w:rsidDel="00000000" w:rsidP="00000000" w:rsidRDefault="00000000" w:rsidRPr="00000000" w14:paraId="00000008">
      <w:pPr>
        <w:rPr>
          <w:sz w:val="24"/>
          <w:szCs w:val="24"/>
        </w:rPr>
      </w:pPr>
      <w:r w:rsidDel="00000000" w:rsidR="00000000" w:rsidRPr="00000000">
        <w:rPr>
          <w:sz w:val="24"/>
          <w:szCs w:val="24"/>
          <w:rtl w:val="0"/>
        </w:rPr>
        <w:t xml:space="preserve">FMLC Website: </w:t>
      </w:r>
      <w:hyperlink r:id="rId7">
        <w:r w:rsidDel="00000000" w:rsidR="00000000" w:rsidRPr="00000000">
          <w:rPr>
            <w:color w:val="0563c1"/>
            <w:sz w:val="24"/>
            <w:szCs w:val="24"/>
            <w:u w:val="single"/>
            <w:rtl w:val="0"/>
          </w:rPr>
          <w:t xml:space="preserve">https://napcrg.org/conferences/fmlc/about-fmlc/#10606</w:t>
        </w:r>
      </w:hyperlink>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Link to attendee list: </w:t>
      </w:r>
      <w:hyperlink r:id="rId8">
        <w:r w:rsidDel="00000000" w:rsidR="00000000" w:rsidRPr="00000000">
          <w:rPr>
            <w:color w:val="0563c1"/>
            <w:sz w:val="24"/>
            <w:szCs w:val="24"/>
            <w:u w:val="single"/>
            <w:rtl w:val="0"/>
          </w:rPr>
          <w:t xml:space="preserve">https://docs.google.com/spreadsheets/d/1AvhavVhcgCQl9Ws-mt5bSMTW1sKsBmRj/edit#gid=346012316</w:t>
        </w:r>
      </w:hyperlink>
      <w:r w:rsidDel="00000000" w:rsidR="00000000" w:rsidRPr="00000000">
        <w:rPr>
          <w:sz w:val="24"/>
          <w:szCs w:val="24"/>
          <w:rtl w:val="0"/>
        </w:rPr>
        <w:t xml:space="preserve"> </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Friday, February 10, 2022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7375"/>
        <w:tblGridChange w:id="0">
          <w:tblGrid>
            <w:gridCol w:w="1975"/>
            <w:gridCol w:w="7375"/>
          </w:tblGrid>
        </w:tblGridChange>
      </w:tblGrid>
      <w:tr>
        <w:trPr>
          <w:cantSplit w:val="0"/>
          <w:tblHeader w:val="0"/>
        </w:trPr>
        <w:tc>
          <w:tcPr/>
          <w:p w:rsidR="00000000" w:rsidDel="00000000" w:rsidP="00000000" w:rsidRDefault="00000000" w:rsidRPr="00000000" w14:paraId="0000000C">
            <w:pPr>
              <w:rPr>
                <w:sz w:val="24"/>
                <w:szCs w:val="24"/>
              </w:rPr>
            </w:pPr>
            <w:r w:rsidDel="00000000" w:rsidR="00000000" w:rsidRPr="00000000">
              <w:rPr>
                <w:color w:val="000000"/>
                <w:sz w:val="24"/>
                <w:szCs w:val="24"/>
                <w:rtl w:val="0"/>
              </w:rPr>
              <w:t xml:space="preserve">Health policy updates</w:t>
            </w: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Attendees listened to updates on health policy from the following: </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Stephanie Quinn, MBA</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Bob Phillips, MD, MSPH</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000ee"/>
                  <w:sz w:val="24"/>
                  <w:szCs w:val="24"/>
                  <w:u w:val="single"/>
                  <w:shd w:fill="auto" w:val="clear"/>
                  <w:vertAlign w:val="baseline"/>
                  <w:rtl w:val="0"/>
                </w:rPr>
                <w:t xml:space="preserve">Nina DeJonghe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MPP</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Brian Lee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(on Zoom)</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rPr>
                <w:sz w:val="24"/>
                <w:szCs w:val="24"/>
              </w:rPr>
            </w:pPr>
            <w:r w:rsidDel="00000000" w:rsidR="00000000" w:rsidRPr="00000000">
              <w:rPr>
                <w:color w:val="000000"/>
                <w:sz w:val="24"/>
                <w:szCs w:val="24"/>
                <w:rtl w:val="0"/>
              </w:rPr>
              <w:t xml:space="preserve">Organizational updates </w:t>
            </w:r>
            <w:r w:rsidDel="00000000" w:rsidR="00000000" w:rsidRPr="00000000">
              <w:rPr>
                <w:rtl w:val="0"/>
              </w:rPr>
            </w:r>
          </w:p>
        </w:tc>
        <w:tc>
          <w:tcPr/>
          <w:p w:rsidR="00000000" w:rsidDel="00000000" w:rsidP="00000000" w:rsidRDefault="00000000" w:rsidRPr="00000000" w14:paraId="00000014">
            <w:pPr>
              <w:rPr>
                <w:sz w:val="24"/>
                <w:szCs w:val="24"/>
              </w:rPr>
            </w:pPr>
            <w:r w:rsidDel="00000000" w:rsidR="00000000" w:rsidRPr="00000000">
              <w:rPr>
                <w:sz w:val="24"/>
                <w:szCs w:val="24"/>
                <w:rtl w:val="0"/>
              </w:rPr>
              <w:t xml:space="preserve">Each of the following organizations went over their updates since the last meeting – AAFP Foundation, ABFM,ACOFP, and NAPCRG. As part of the research summit planning that was introduced later in the meeting, each organization was asked to highlight research initiatives in their updates. All organizational updates can be found here: </w:t>
            </w:r>
            <w:hyperlink r:id="rId10">
              <w:r w:rsidDel="00000000" w:rsidR="00000000" w:rsidRPr="00000000">
                <w:rPr>
                  <w:color w:val="0563c1"/>
                  <w:sz w:val="24"/>
                  <w:szCs w:val="24"/>
                  <w:u w:val="single"/>
                  <w:rtl w:val="0"/>
                </w:rPr>
                <w:t xml:space="preserve">https://napcrg.org/conferences/fmlc/about-fmlc/#10604</w:t>
              </w:r>
            </w:hyperlink>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rPr>
                <w:sz w:val="24"/>
                <w:szCs w:val="24"/>
              </w:rPr>
            </w:pPr>
            <w:r w:rsidDel="00000000" w:rsidR="00000000" w:rsidRPr="00000000">
              <w:rPr>
                <w:sz w:val="24"/>
                <w:szCs w:val="24"/>
                <w:rtl w:val="0"/>
              </w:rPr>
              <w:t xml:space="preserve">Research Summit – Part 1: Setting the Stage </w:t>
            </w:r>
          </w:p>
        </w:tc>
        <w:tc>
          <w:tcPr/>
          <w:p w:rsidR="00000000" w:rsidDel="00000000" w:rsidP="00000000" w:rsidRDefault="00000000" w:rsidRPr="00000000" w14:paraId="00000017">
            <w:pPr>
              <w:rPr>
                <w:sz w:val="24"/>
                <w:szCs w:val="24"/>
              </w:rPr>
            </w:pPr>
            <w:r w:rsidDel="00000000" w:rsidR="00000000" w:rsidRPr="00000000">
              <w:rPr>
                <w:sz w:val="24"/>
                <w:szCs w:val="24"/>
                <w:rtl w:val="0"/>
              </w:rPr>
              <w:t xml:space="preserve">The rest of the day was devoted to work around the research summit process. Amanda Weidner and Irf Asif, who are spearheading the year-long process of creating a strategic plan for the discipline in research, funded by the ABFM Foundation, kicked off the discussion. They provided some background on the project, explained the why and the process. Link to their slides: </w:t>
            </w:r>
            <w:hyperlink r:id="rId11">
              <w:r w:rsidDel="00000000" w:rsidR="00000000" w:rsidRPr="00000000">
                <w:rPr>
                  <w:color w:val="0563c1"/>
                  <w:sz w:val="24"/>
                  <w:szCs w:val="24"/>
                  <w:u w:val="single"/>
                  <w:rtl w:val="0"/>
                </w:rPr>
                <w:t xml:space="preserve">https://docs.google.com/presentation/d/18pLZhOwc5qjIRfkfioURVYNDgx363spc5O0i6FcYCE0/edit#slide=id.p</w:t>
              </w:r>
            </w:hyperlink>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They were joined by two members of the Clarus Group, the consulting group they hired to help with this process. Primarily Clarus will be conducting a series of individual interviews and focus groups on the state and future of research in family medicine as well facilitating the strategic plan creation.</w:t>
            </w:r>
          </w:p>
        </w:tc>
      </w:tr>
      <w:tr>
        <w:trPr>
          <w:cantSplit w:val="0"/>
          <w:tblHeader w:val="0"/>
        </w:trPr>
        <w:tc>
          <w:tcPr/>
          <w:p w:rsidR="00000000" w:rsidDel="00000000" w:rsidP="00000000" w:rsidRDefault="00000000" w:rsidRPr="00000000" w14:paraId="0000001A">
            <w:pPr>
              <w:rPr>
                <w:sz w:val="24"/>
                <w:szCs w:val="24"/>
              </w:rPr>
            </w:pPr>
            <w:r w:rsidDel="00000000" w:rsidR="00000000" w:rsidRPr="00000000">
              <w:rPr>
                <w:sz w:val="24"/>
                <w:szCs w:val="24"/>
                <w:rtl w:val="0"/>
              </w:rPr>
              <w:t xml:space="preserve">Research Summit – Part 2: Current State</w:t>
            </w:r>
          </w:p>
        </w:tc>
        <w:tc>
          <w:tcPr/>
          <w:p w:rsidR="00000000" w:rsidDel="00000000" w:rsidP="00000000" w:rsidRDefault="00000000" w:rsidRPr="00000000" w14:paraId="0000001B">
            <w:pPr>
              <w:rPr>
                <w:color w:val="000000"/>
                <w:sz w:val="24"/>
                <w:szCs w:val="24"/>
              </w:rPr>
            </w:pPr>
            <w:r w:rsidDel="00000000" w:rsidR="00000000" w:rsidRPr="00000000">
              <w:rPr>
                <w:sz w:val="24"/>
                <w:szCs w:val="24"/>
                <w:rtl w:val="0"/>
              </w:rPr>
              <w:t xml:space="preserve">During this section of the meeting, the Clarus consultants, </w:t>
            </w:r>
            <w:r w:rsidDel="00000000" w:rsidR="00000000" w:rsidRPr="00000000">
              <w:rPr>
                <w:color w:val="000000"/>
                <w:sz w:val="24"/>
                <w:szCs w:val="24"/>
                <w:rtl w:val="0"/>
              </w:rPr>
              <w:t xml:space="preserve"> </w:t>
            </w:r>
            <w:r w:rsidDel="00000000" w:rsidR="00000000" w:rsidRPr="00000000">
              <w:rPr>
                <w:sz w:val="24"/>
                <w:szCs w:val="24"/>
                <w:rtl w:val="0"/>
              </w:rPr>
              <w:t xml:space="preserve">Amanda Carmichael</w:t>
            </w:r>
            <w:r w:rsidDel="00000000" w:rsidR="00000000" w:rsidRPr="00000000">
              <w:rPr>
                <w:color w:val="000000"/>
                <w:sz w:val="24"/>
                <w:szCs w:val="24"/>
                <w:rtl w:val="0"/>
              </w:rPr>
              <w:t xml:space="preserve"> and Kristie Cloud McCullough, facilitated a group discussion and activity meant to delve into the current state of research in family medicine. They used the responses that the orgs gave in their organizational updates to help craft a picture of the current state and then asked the group to answer the following questions:</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What reflections &amp; observations do you have about the current state?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What’s missing from the current state?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What questions do you have about the current state?</w:t>
            </w:r>
            <w:r w:rsidDel="00000000" w:rsidR="00000000" w:rsidRPr="00000000">
              <w:rPr>
                <w:rtl w:val="0"/>
              </w:rPr>
            </w:r>
          </w:p>
        </w:tc>
      </w:tr>
      <w:tr>
        <w:trPr>
          <w:cantSplit w:val="0"/>
          <w:tblHeader w:val="0"/>
        </w:trPr>
        <w:tc>
          <w:tcPr/>
          <w:p w:rsidR="00000000" w:rsidDel="00000000" w:rsidP="00000000" w:rsidRDefault="00000000" w:rsidRPr="00000000" w14:paraId="0000001F">
            <w:pPr>
              <w:rPr>
                <w:sz w:val="24"/>
                <w:szCs w:val="24"/>
              </w:rPr>
            </w:pPr>
            <w:r w:rsidDel="00000000" w:rsidR="00000000" w:rsidRPr="00000000">
              <w:rPr>
                <w:sz w:val="24"/>
                <w:szCs w:val="24"/>
                <w:rtl w:val="0"/>
              </w:rPr>
              <w:t xml:space="preserve">Research Summit Part 3 – Innovative Inspiration</w:t>
            </w:r>
          </w:p>
        </w:tc>
        <w:tc>
          <w:tcPr/>
          <w:p w:rsidR="00000000" w:rsidDel="00000000" w:rsidP="00000000" w:rsidRDefault="00000000" w:rsidRPr="00000000" w14:paraId="00000020">
            <w:pPr>
              <w:rPr>
                <w:sz w:val="24"/>
                <w:szCs w:val="24"/>
              </w:rPr>
            </w:pPr>
            <w:r w:rsidDel="00000000" w:rsidR="00000000" w:rsidRPr="00000000">
              <w:rPr>
                <w:sz w:val="24"/>
                <w:szCs w:val="24"/>
                <w:rtl w:val="0"/>
              </w:rPr>
              <w:t xml:space="preserve">The discussion transitioned from current state to a discussion around innovation inspirations in research. To help with the brainstorming process around what is possible in research, the group heard from the following guests:</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 olde Hartman, MD, PhD: Dutch structures of GP education and opportunities for PC research - </w:t>
            </w:r>
            <w:hyperlink r:id="rId12">
              <w:r w:rsidDel="00000000" w:rsidR="00000000" w:rsidRPr="00000000">
                <w:rPr>
                  <w:rFonts w:ascii="Calibri" w:cs="Calibri" w:eastAsia="Calibri" w:hAnsi="Calibri"/>
                  <w:b w:val="0"/>
                  <w:i w:val="0"/>
                  <w:smallCaps w:val="0"/>
                  <w:strike w:val="0"/>
                  <w:color w:val="1155cc"/>
                  <w:sz w:val="24"/>
                  <w:szCs w:val="24"/>
                  <w:highlight w:val="white"/>
                  <w:u w:val="single"/>
                  <w:vertAlign w:val="baseline"/>
                  <w:rtl w:val="0"/>
                </w:rPr>
                <w:t xml:space="preserve">Tim.OldeHartman@radboudumc.nl</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Background reading: </w:t>
            </w:r>
            <w:hyperlink r:id="rId1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https://www.racgp.org.au/afp/200806/24942</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Judy Belle Brown, PhD: Canada’s TUTOR-PHC program - </w:t>
            </w:r>
            <w:hyperlink r:id="rId14">
              <w:r w:rsidDel="00000000" w:rsidR="00000000" w:rsidRPr="00000000">
                <w:rPr>
                  <w:rFonts w:ascii="Calibri" w:cs="Calibri" w:eastAsia="Calibri" w:hAnsi="Calibri"/>
                  <w:b w:val="0"/>
                  <w:i w:val="0"/>
                  <w:smallCaps w:val="0"/>
                  <w:strike w:val="0"/>
                  <w:color w:val="1155cc"/>
                  <w:sz w:val="24"/>
                  <w:szCs w:val="24"/>
                  <w:highlight w:val="white"/>
                  <w:u w:val="single"/>
                  <w:vertAlign w:val="baseline"/>
                  <w:rtl w:val="0"/>
                </w:rPr>
                <w:t xml:space="preserve">jbbrown@uwo.ca</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Background reading: </w:t>
            </w:r>
            <w:hyperlink r:id="rId1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https://www.ncbi.nlm.nih.gov/pmc/articles/PMC5999248/</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Deborah Diercks, MD: Emergency Medicine’s experience - </w:t>
            </w:r>
            <w:hyperlink r:id="rId16">
              <w:r w:rsidDel="00000000" w:rsidR="00000000" w:rsidRPr="00000000">
                <w:rPr>
                  <w:rFonts w:ascii="Calibri" w:cs="Calibri" w:eastAsia="Calibri" w:hAnsi="Calibri"/>
                  <w:b w:val="0"/>
                  <w:i w:val="0"/>
                  <w:smallCaps w:val="0"/>
                  <w:strike w:val="0"/>
                  <w:color w:val="1155cc"/>
                  <w:sz w:val="24"/>
                  <w:szCs w:val="24"/>
                  <w:highlight w:val="white"/>
                  <w:u w:val="single"/>
                  <w:vertAlign w:val="baseline"/>
                  <w:rtl w:val="0"/>
                </w:rPr>
                <w:t xml:space="preserve">Deborah.Diercks@UTSouthwestern.edu</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Background reading: </w:t>
            </w:r>
            <w:hyperlink r:id="rId1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https://onlinelibrary.wiley.com/doi/10.1111/acem.14367</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Attachments for these presentations can be found on the post meeting materials page under “Innovative Inspirations Panel”: </w:t>
            </w:r>
            <w:hyperlink r:id="rId18">
              <w:r w:rsidDel="00000000" w:rsidR="00000000" w:rsidRPr="00000000">
                <w:rPr>
                  <w:color w:val="0563c1"/>
                  <w:sz w:val="24"/>
                  <w:szCs w:val="24"/>
                  <w:u w:val="single"/>
                  <w:rtl w:val="0"/>
                </w:rPr>
                <w:t xml:space="preserve">https://napcrg.org/conferences/fmlc/about-fmlc/#10649</w:t>
              </w:r>
            </w:hyperlink>
            <w:r w:rsidDel="00000000" w:rsidR="00000000" w:rsidRPr="00000000">
              <w:rPr>
                <w:sz w:val="24"/>
                <w:szCs w:val="24"/>
                <w:rtl w:val="0"/>
              </w:rPr>
              <w:t xml:space="preserve"> </w:t>
            </w:r>
          </w:p>
          <w:p w:rsidR="00000000" w:rsidDel="00000000" w:rsidP="00000000" w:rsidRDefault="00000000" w:rsidRPr="00000000" w14:paraId="0000002A">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rPr>
                <w:sz w:val="24"/>
                <w:szCs w:val="24"/>
              </w:rPr>
            </w:pPr>
            <w:r w:rsidDel="00000000" w:rsidR="00000000" w:rsidRPr="00000000">
              <w:rPr>
                <w:sz w:val="24"/>
                <w:szCs w:val="24"/>
                <w:rtl w:val="0"/>
              </w:rPr>
              <w:t xml:space="preserve">Research Summit – Part 4: Visioning for the Future</w:t>
            </w:r>
          </w:p>
        </w:tc>
        <w:tc>
          <w:tcPr/>
          <w:p w:rsidR="00000000" w:rsidDel="00000000" w:rsidP="00000000" w:rsidRDefault="00000000" w:rsidRPr="00000000" w14:paraId="0000002C">
            <w:pPr>
              <w:rPr>
                <w:i w:val="1"/>
                <w:color w:val="1a1a1a"/>
                <w:sz w:val="24"/>
                <w:szCs w:val="24"/>
              </w:rPr>
            </w:pPr>
            <w:bookmarkStart w:colFirst="0" w:colLast="0" w:name="_heading=h.gjdgxs" w:id="0"/>
            <w:bookmarkEnd w:id="0"/>
            <w:r w:rsidDel="00000000" w:rsidR="00000000" w:rsidRPr="00000000">
              <w:rPr>
                <w:sz w:val="24"/>
                <w:szCs w:val="24"/>
                <w:rtl w:val="0"/>
              </w:rPr>
              <w:t xml:space="preserve">The Clarus team led the group through a breakout exercise in which they used flip charts to share out their thoughts around possible ideas, tracks, projects, and programs that are needed to establish a robust strategic plan in research - </w:t>
            </w:r>
            <w:r w:rsidDel="00000000" w:rsidR="00000000" w:rsidRPr="00000000">
              <w:rPr>
                <w:sz w:val="24"/>
                <w:szCs w:val="24"/>
                <w:rtl w:val="0"/>
              </w:rPr>
              <w:t xml:space="preserve">“</w:t>
            </w:r>
            <w:r w:rsidDel="00000000" w:rsidR="00000000" w:rsidRPr="00000000">
              <w:rPr>
                <w:i w:val="1"/>
                <w:color w:val="1a1a1a"/>
                <w:sz w:val="24"/>
                <w:szCs w:val="24"/>
                <w:rtl w:val="0"/>
              </w:rPr>
              <w:t xml:space="preserve">What do you hope to be true for the national family medicine research strategy by 2030?”</w:t>
            </w:r>
          </w:p>
          <w:p w:rsidR="00000000" w:rsidDel="00000000" w:rsidP="00000000" w:rsidRDefault="00000000" w:rsidRPr="00000000" w14:paraId="0000002D">
            <w:pPr>
              <w:rPr>
                <w:sz w:val="24"/>
                <w:szCs w:val="24"/>
              </w:rPr>
            </w:pPr>
            <w:bookmarkStart w:colFirst="0" w:colLast="0" w:name="_heading=h.6cblrbjg707h" w:id="1"/>
            <w:bookmarkEnd w:id="1"/>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This led to a robust discussion that ended with two key takeaways: </w:t>
            </w:r>
            <w:r w:rsidDel="00000000" w:rsidR="00000000" w:rsidRPr="00000000">
              <w:rPr>
                <w:sz w:val="24"/>
                <w:szCs w:val="24"/>
                <w:rtl w:val="0"/>
              </w:rPr>
              <w:t xml:space="preserve">1) the timing is right to focus on advocacy and we should move on that front now (vs waiting for the summit), and 2) that this might specifically look like advocacy toward an NIH</w:t>
            </w:r>
            <w:r w:rsidDel="00000000" w:rsidR="00000000" w:rsidRPr="00000000">
              <w:rPr>
                <w:sz w:val="24"/>
                <w:szCs w:val="24"/>
                <w:rtl w:val="0"/>
              </w:rPr>
              <w:t xml:space="preserve"> “home” (Office, Center, etc).</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The Clarus team collected all of the responses and collated them into the following themes:</w:t>
            </w:r>
          </w:p>
          <w:p w:rsidR="00000000" w:rsidDel="00000000" w:rsidP="00000000" w:rsidRDefault="00000000" w:rsidRPr="00000000" w14:paraId="00000031">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Increased research opportunities in residency and training, accessible to all</w:t>
            </w:r>
          </w:p>
          <w:p w:rsidR="00000000" w:rsidDel="00000000" w:rsidP="00000000" w:rsidRDefault="00000000" w:rsidRPr="00000000" w14:paraId="00000032">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Interprofessional approach, united vision, and broadly adopted plan</w:t>
            </w:r>
          </w:p>
          <w:p w:rsidR="00000000" w:rsidDel="00000000" w:rsidP="00000000" w:rsidRDefault="00000000" w:rsidRPr="00000000" w14:paraId="00000033">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Grow, use and share data resources</w:t>
            </w:r>
          </w:p>
          <w:p w:rsidR="00000000" w:rsidDel="00000000" w:rsidP="00000000" w:rsidRDefault="00000000" w:rsidRPr="00000000" w14:paraId="00000034">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Role/value-add of research and research as part of professional identity</w:t>
            </w:r>
          </w:p>
          <w:p w:rsidR="00000000" w:rsidDel="00000000" w:rsidP="00000000" w:rsidRDefault="00000000" w:rsidRPr="00000000" w14:paraId="00000035">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Dedicated funding</w:t>
            </w:r>
          </w:p>
          <w:p w:rsidR="00000000" w:rsidDel="00000000" w:rsidP="00000000" w:rsidRDefault="00000000" w:rsidRPr="00000000" w14:paraId="00000036">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Established research networks, centers and collaboratives</w:t>
            </w:r>
          </w:p>
          <w:p w:rsidR="00000000" w:rsidDel="00000000" w:rsidP="00000000" w:rsidRDefault="00000000" w:rsidRPr="00000000" w14:paraId="00000037">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NIH Center for Primary Care Research</w:t>
            </w:r>
          </w:p>
          <w:p w:rsidR="00000000" w:rsidDel="00000000" w:rsidP="00000000" w:rsidRDefault="00000000" w:rsidRPr="00000000" w14:paraId="00000038">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Widespread communication about outcomes and impact</w:t>
            </w:r>
          </w:p>
          <w:p w:rsidR="00000000" w:rsidDel="00000000" w:rsidP="00000000" w:rsidRDefault="00000000" w:rsidRPr="00000000" w14:paraId="00000039">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Patient-centered approach</w:t>
            </w:r>
          </w:p>
          <w:p w:rsidR="00000000" w:rsidDel="00000000" w:rsidP="00000000" w:rsidRDefault="00000000" w:rsidRPr="00000000" w14:paraId="0000003A">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Research impact/results are connected to practice</w:t>
            </w:r>
          </w:p>
          <w:p w:rsidR="00000000" w:rsidDel="00000000" w:rsidP="00000000" w:rsidRDefault="00000000" w:rsidRPr="00000000" w14:paraId="0000003B">
            <w:pPr>
              <w:widowControl w:val="0"/>
              <w:numPr>
                <w:ilvl w:val="0"/>
                <w:numId w:val="1"/>
              </w:numPr>
              <w:spacing w:after="0" w:after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High quality, innovative research that addresses the quadruple (quintuple) aim</w:t>
            </w:r>
          </w:p>
          <w:p w:rsidR="00000000" w:rsidDel="00000000" w:rsidP="00000000" w:rsidRDefault="00000000" w:rsidRPr="00000000" w14:paraId="0000003C">
            <w:pPr>
              <w:widowControl w:val="0"/>
              <w:numPr>
                <w:ilvl w:val="0"/>
                <w:numId w:val="1"/>
              </w:numPr>
              <w:spacing w:after="24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…and that we’ve moved past this conversation by then!</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E">
            <w:pPr>
              <w:rPr>
                <w:sz w:val="24"/>
                <w:szCs w:val="24"/>
              </w:rPr>
            </w:pPr>
            <w:r w:rsidDel="00000000" w:rsidR="00000000" w:rsidRPr="00000000">
              <w:rPr>
                <w:sz w:val="24"/>
                <w:szCs w:val="24"/>
                <w:rtl w:val="0"/>
              </w:rPr>
              <w:t xml:space="preserve">Research Summit – Part 5: Closing &amp; Next Steps</w:t>
            </w:r>
          </w:p>
        </w:tc>
        <w:tc>
          <w:tcPr/>
          <w:p w:rsidR="00000000" w:rsidDel="00000000" w:rsidP="00000000" w:rsidRDefault="00000000" w:rsidRPr="00000000" w14:paraId="0000003F">
            <w:pPr>
              <w:rPr>
                <w:sz w:val="24"/>
                <w:szCs w:val="24"/>
              </w:rPr>
            </w:pPr>
            <w:r w:rsidDel="00000000" w:rsidR="00000000" w:rsidRPr="00000000">
              <w:rPr>
                <w:sz w:val="24"/>
                <w:szCs w:val="24"/>
                <w:rtl w:val="0"/>
              </w:rPr>
              <w:t xml:space="preserve">Irf reviewed the big picture scope of the work for the family medicine research strategy and shared that the major next steps will be developing a list of key partners to invite to do individual interviews and focus groups, as well as start to pull together a list of paper topics for publications and potential authors.</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Additionally, he shared the following next steps that were a direct result of this meeting:</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numPr>
                <w:ilvl w:val="0"/>
                <w:numId w:val="2"/>
              </w:numPr>
              <w:ind w:left="720" w:hanging="360"/>
              <w:rPr>
                <w:color w:val="000000"/>
                <w:sz w:val="24"/>
                <w:szCs w:val="24"/>
              </w:rPr>
            </w:pPr>
            <w:r w:rsidDel="00000000" w:rsidR="00000000" w:rsidRPr="00000000">
              <w:rPr>
                <w:color w:val="000000"/>
                <w:sz w:val="24"/>
                <w:szCs w:val="24"/>
                <w:rtl w:val="0"/>
              </w:rPr>
              <w:t xml:space="preserve">As a group, we made progress on creating alignment </w:t>
            </w:r>
          </w:p>
          <w:p w:rsidR="00000000" w:rsidDel="00000000" w:rsidP="00000000" w:rsidRDefault="00000000" w:rsidRPr="00000000" w14:paraId="00000044">
            <w:pPr>
              <w:numPr>
                <w:ilvl w:val="0"/>
                <w:numId w:val="2"/>
              </w:numPr>
              <w:ind w:left="720" w:hanging="360"/>
              <w:rPr>
                <w:color w:val="000000"/>
                <w:sz w:val="24"/>
                <w:szCs w:val="24"/>
              </w:rPr>
            </w:pPr>
            <w:r w:rsidDel="00000000" w:rsidR="00000000" w:rsidRPr="00000000">
              <w:rPr>
                <w:color w:val="000000"/>
                <w:sz w:val="24"/>
                <w:szCs w:val="24"/>
                <w:rtl w:val="0"/>
              </w:rPr>
              <w:t xml:space="preserve">Narrow window to capitalize on some advocacy efforts - Shawn, Bob, have marching orders to advocate for an NIH center/more NIH Funding</w:t>
            </w:r>
          </w:p>
          <w:p w:rsidR="00000000" w:rsidDel="00000000" w:rsidP="00000000" w:rsidRDefault="00000000" w:rsidRPr="00000000" w14:paraId="00000045">
            <w:pPr>
              <w:numPr>
                <w:ilvl w:val="0"/>
                <w:numId w:val="2"/>
              </w:numPr>
              <w:ind w:left="720" w:hanging="360"/>
              <w:rPr>
                <w:color w:val="000000"/>
                <w:sz w:val="24"/>
                <w:szCs w:val="24"/>
              </w:rPr>
            </w:pPr>
            <w:r w:rsidDel="00000000" w:rsidR="00000000" w:rsidRPr="00000000">
              <w:rPr>
                <w:color w:val="000000"/>
                <w:sz w:val="24"/>
                <w:szCs w:val="24"/>
                <w:rtl w:val="0"/>
              </w:rPr>
              <w:t xml:space="preserve">Focus groups and interviews will be broken down along the following groups of people:</w:t>
            </w:r>
          </w:p>
          <w:p w:rsidR="00000000" w:rsidDel="00000000" w:rsidP="00000000" w:rsidRDefault="00000000" w:rsidRPr="00000000" w14:paraId="00000046">
            <w:pPr>
              <w:numPr>
                <w:ilvl w:val="1"/>
                <w:numId w:val="3"/>
              </w:numPr>
              <w:ind w:left="1440" w:hanging="360"/>
              <w:rPr>
                <w:color w:val="000000"/>
                <w:sz w:val="24"/>
                <w:szCs w:val="24"/>
              </w:rPr>
            </w:pPr>
            <w:r w:rsidDel="00000000" w:rsidR="00000000" w:rsidRPr="00000000">
              <w:rPr>
                <w:color w:val="000000"/>
                <w:sz w:val="24"/>
                <w:szCs w:val="24"/>
                <w:rtl w:val="0"/>
              </w:rPr>
              <w:t xml:space="preserve">Researchers </w:t>
            </w:r>
          </w:p>
          <w:p w:rsidR="00000000" w:rsidDel="00000000" w:rsidP="00000000" w:rsidRDefault="00000000" w:rsidRPr="00000000" w14:paraId="00000047">
            <w:pPr>
              <w:numPr>
                <w:ilvl w:val="1"/>
                <w:numId w:val="3"/>
              </w:numPr>
              <w:ind w:left="1440" w:hanging="360"/>
              <w:rPr>
                <w:color w:val="000000"/>
                <w:sz w:val="24"/>
                <w:szCs w:val="24"/>
              </w:rPr>
            </w:pPr>
            <w:r w:rsidDel="00000000" w:rsidR="00000000" w:rsidRPr="00000000">
              <w:rPr>
                <w:color w:val="000000"/>
                <w:sz w:val="24"/>
                <w:szCs w:val="24"/>
                <w:rtl w:val="0"/>
              </w:rPr>
              <w:t xml:space="preserve">educators/learners</w:t>
            </w:r>
          </w:p>
          <w:p w:rsidR="00000000" w:rsidDel="00000000" w:rsidP="00000000" w:rsidRDefault="00000000" w:rsidRPr="00000000" w14:paraId="00000048">
            <w:pPr>
              <w:numPr>
                <w:ilvl w:val="1"/>
                <w:numId w:val="3"/>
              </w:numPr>
              <w:ind w:left="1440" w:hanging="360"/>
              <w:rPr>
                <w:color w:val="000000"/>
                <w:sz w:val="24"/>
                <w:szCs w:val="24"/>
              </w:rPr>
            </w:pPr>
            <w:r w:rsidDel="00000000" w:rsidR="00000000" w:rsidRPr="00000000">
              <w:rPr>
                <w:color w:val="000000"/>
                <w:sz w:val="24"/>
                <w:szCs w:val="24"/>
                <w:rtl w:val="0"/>
              </w:rPr>
              <w:t xml:space="preserve">individual interviewers</w:t>
            </w:r>
          </w:p>
          <w:p w:rsidR="00000000" w:rsidDel="00000000" w:rsidP="00000000" w:rsidRDefault="00000000" w:rsidRPr="00000000" w14:paraId="00000049">
            <w:pPr>
              <w:numPr>
                <w:ilvl w:val="0"/>
                <w:numId w:val="3"/>
              </w:numPr>
              <w:ind w:left="720" w:hanging="360"/>
              <w:rPr>
                <w:color w:val="000000"/>
                <w:sz w:val="24"/>
                <w:szCs w:val="24"/>
              </w:rPr>
            </w:pPr>
            <w:r w:rsidDel="00000000" w:rsidR="00000000" w:rsidRPr="00000000">
              <w:rPr>
                <w:color w:val="000000"/>
                <w:sz w:val="24"/>
                <w:szCs w:val="24"/>
                <w:rtl w:val="0"/>
              </w:rPr>
              <w:t xml:space="preserve">Irf, Amanda and Sam will review what was submitted to start thinking about strategic planning</w:t>
            </w:r>
          </w:p>
          <w:p w:rsidR="00000000" w:rsidDel="00000000" w:rsidP="00000000" w:rsidRDefault="00000000" w:rsidRPr="00000000" w14:paraId="0000004A">
            <w:pPr>
              <w:numPr>
                <w:ilvl w:val="0"/>
                <w:numId w:val="3"/>
              </w:numPr>
              <w:ind w:left="720" w:hanging="360"/>
              <w:rPr>
                <w:color w:val="000000"/>
                <w:sz w:val="24"/>
                <w:szCs w:val="24"/>
              </w:rPr>
            </w:pPr>
            <w:r w:rsidDel="00000000" w:rsidR="00000000" w:rsidRPr="00000000">
              <w:rPr>
                <w:color w:val="000000"/>
                <w:sz w:val="24"/>
                <w:szCs w:val="24"/>
                <w:rtl w:val="0"/>
              </w:rPr>
              <w:t xml:space="preserve">Looking to August – we’ll use this time to review a draft plan and think about who to invite for the summit </w:t>
            </w:r>
          </w:p>
          <w:p w:rsidR="00000000" w:rsidDel="00000000" w:rsidP="00000000" w:rsidRDefault="00000000" w:rsidRPr="00000000" w14:paraId="0000004B">
            <w:pPr>
              <w:rPr>
                <w:sz w:val="24"/>
                <w:szCs w:val="24"/>
              </w:rPr>
            </w:pPr>
            <w:r w:rsidDel="00000000" w:rsidR="00000000" w:rsidRPr="00000000">
              <w:rPr>
                <w:rtl w:val="0"/>
              </w:rPr>
            </w:r>
          </w:p>
        </w:tc>
      </w:tr>
    </w:tbl>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Saturday, February 11, 2023</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7375"/>
        <w:tblGridChange w:id="0">
          <w:tblGrid>
            <w:gridCol w:w="1975"/>
            <w:gridCol w:w="7375"/>
          </w:tblGrid>
        </w:tblGridChange>
      </w:tblGrid>
      <w:tr>
        <w:trPr>
          <w:cantSplit w:val="0"/>
          <w:tblHeader w:val="0"/>
        </w:trPr>
        <w:tc>
          <w:tcPr/>
          <w:p w:rsidR="00000000" w:rsidDel="00000000" w:rsidP="00000000" w:rsidRDefault="00000000" w:rsidRPr="00000000" w14:paraId="0000004E">
            <w:pPr>
              <w:rPr>
                <w:sz w:val="24"/>
                <w:szCs w:val="24"/>
              </w:rPr>
            </w:pPr>
            <w:r w:rsidDel="00000000" w:rsidR="00000000" w:rsidRPr="00000000">
              <w:rPr>
                <w:sz w:val="24"/>
                <w:szCs w:val="24"/>
                <w:rtl w:val="0"/>
              </w:rPr>
              <w:t xml:space="preserve">FM-CAR update - committee on anti-racism</w:t>
            </w:r>
          </w:p>
        </w:tc>
        <w:tc>
          <w:tcPr/>
          <w:p w:rsidR="00000000" w:rsidDel="00000000" w:rsidP="00000000" w:rsidRDefault="00000000" w:rsidRPr="00000000" w14:paraId="0000004F">
            <w:pPr>
              <w:rPr>
                <w:sz w:val="24"/>
                <w:szCs w:val="24"/>
              </w:rPr>
            </w:pPr>
            <w:r w:rsidDel="00000000" w:rsidR="00000000" w:rsidRPr="00000000">
              <w:rPr>
                <w:sz w:val="24"/>
                <w:szCs w:val="24"/>
                <w:rtl w:val="0"/>
              </w:rPr>
              <w:t xml:space="preserve">During the August 2022 FMLC meeting, FM-CAR representatives shared out 25 recommendations based on their lit review (link to August update with recommendations: </w:t>
            </w:r>
            <w:hyperlink r:id="rId19">
              <w:r w:rsidDel="00000000" w:rsidR="00000000" w:rsidRPr="00000000">
                <w:rPr>
                  <w:color w:val="0563c1"/>
                  <w:sz w:val="24"/>
                  <w:szCs w:val="24"/>
                  <w:u w:val="single"/>
                  <w:rtl w:val="0"/>
                </w:rPr>
                <w:t xml:space="preserve">here</w:t>
              </w:r>
            </w:hyperlink>
            <w:r w:rsidDel="00000000" w:rsidR="00000000" w:rsidRPr="00000000">
              <w:rPr>
                <w:sz w:val="24"/>
                <w:szCs w:val="24"/>
                <w:rtl w:val="0"/>
              </w:rPr>
              <w:t xml:space="preserve">).</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 The group decided to focus on action around a single recommendation and landed on Governance. The committee is in the process of providing instructions on what those next steps will look like. </w:t>
            </w:r>
          </w:p>
        </w:tc>
      </w:tr>
      <w:tr>
        <w:trPr>
          <w:cantSplit w:val="0"/>
          <w:tblHeader w:val="0"/>
        </w:trPr>
        <w:tc>
          <w:tcPr/>
          <w:p w:rsidR="00000000" w:rsidDel="00000000" w:rsidP="00000000" w:rsidRDefault="00000000" w:rsidRPr="00000000" w14:paraId="00000052">
            <w:pPr>
              <w:rPr>
                <w:sz w:val="24"/>
                <w:szCs w:val="24"/>
              </w:rPr>
            </w:pPr>
            <w:r w:rsidDel="00000000" w:rsidR="00000000" w:rsidRPr="00000000">
              <w:rPr>
                <w:sz w:val="24"/>
                <w:szCs w:val="24"/>
                <w:rtl w:val="0"/>
              </w:rPr>
              <w:t xml:space="preserve">Residency Redesign efforts – Part 1 </w:t>
            </w:r>
          </w:p>
        </w:tc>
        <w:tc>
          <w:tcPr/>
          <w:p w:rsidR="00000000" w:rsidDel="00000000" w:rsidP="00000000" w:rsidRDefault="00000000" w:rsidRPr="00000000" w14:paraId="00000053">
            <w:pPr>
              <w:rPr>
                <w:sz w:val="24"/>
                <w:szCs w:val="24"/>
              </w:rPr>
            </w:pPr>
            <w:r w:rsidDel="00000000" w:rsidR="00000000" w:rsidRPr="00000000">
              <w:rPr>
                <w:sz w:val="24"/>
                <w:szCs w:val="24"/>
                <w:rtl w:val="0"/>
              </w:rPr>
              <w:t xml:space="preserve">Warren shared an update on where we are at in residency redesign including ACGME “appeal” re: faculty time requirements. As a reminder, </w:t>
            </w:r>
            <w:r w:rsidDel="00000000" w:rsidR="00000000" w:rsidRPr="00000000">
              <w:rPr>
                <w:color w:val="000000"/>
                <w:sz w:val="24"/>
                <w:szCs w:val="24"/>
                <w:rtl w:val="0"/>
              </w:rPr>
              <w:t xml:space="preserve">over the summer, the RC after a lot of input, thought faculty should be funded at .25 FTE for dedicated education. They put that in and ACGME denied it. This led the group to ask for a reconsideration. Rather than shortening the requirements, the ACGME Board of Directors is requesting that FM put together a proposal. There is a chance we’d revert to pre-2019 standards of .6 FTE for core faculty, including faculty. If this gets approved it would be a tremendous victory. Next steps will be </w:t>
            </w:r>
            <w:r w:rsidDel="00000000" w:rsidR="00000000" w:rsidRPr="00000000">
              <w:rPr>
                <w:sz w:val="24"/>
                <w:szCs w:val="24"/>
                <w:rtl w:val="0"/>
              </w:rPr>
              <w:t xml:space="preserve">discussing the moving pieces of </w:t>
            </w:r>
            <w:r w:rsidDel="00000000" w:rsidR="00000000" w:rsidRPr="00000000">
              <w:rPr>
                <w:color w:val="000000"/>
                <w:sz w:val="24"/>
                <w:szCs w:val="24"/>
                <w:rtl w:val="0"/>
              </w:rPr>
              <w:t xml:space="preserve">residency redesign at your meetings/conferences over the next 6 weeks. </w:t>
            </w:r>
            <w:r w:rsidDel="00000000" w:rsidR="00000000" w:rsidRPr="00000000">
              <w:rPr>
                <w:rtl w:val="0"/>
              </w:rPr>
            </w:r>
          </w:p>
        </w:tc>
      </w:tr>
      <w:tr>
        <w:trPr>
          <w:cantSplit w:val="0"/>
          <w:tblHeader w:val="0"/>
        </w:trPr>
        <w:tc>
          <w:tcPr/>
          <w:p w:rsidR="00000000" w:rsidDel="00000000" w:rsidP="00000000" w:rsidRDefault="00000000" w:rsidRPr="00000000" w14:paraId="00000054">
            <w:pPr>
              <w:rPr>
                <w:sz w:val="24"/>
                <w:szCs w:val="24"/>
              </w:rPr>
            </w:pPr>
            <w:r w:rsidDel="00000000" w:rsidR="00000000" w:rsidRPr="00000000">
              <w:rPr>
                <w:sz w:val="24"/>
                <w:szCs w:val="24"/>
                <w:rtl w:val="0"/>
              </w:rPr>
              <w:t xml:space="preserve">Residency Redesign efforts - Part 2: CBME Summit outcomes</w:t>
            </w:r>
          </w:p>
        </w:tc>
        <w:tc>
          <w:tcPr/>
          <w:p w:rsidR="00000000" w:rsidDel="00000000" w:rsidP="00000000" w:rsidRDefault="00000000" w:rsidRPr="00000000" w14:paraId="00000055">
            <w:pPr>
              <w:rPr>
                <w:sz w:val="24"/>
                <w:szCs w:val="24"/>
              </w:rPr>
            </w:pPr>
            <w:r w:rsidDel="00000000" w:rsidR="00000000" w:rsidRPr="00000000">
              <w:rPr>
                <w:sz w:val="24"/>
                <w:szCs w:val="24"/>
                <w:rtl w:val="0"/>
              </w:rPr>
              <w:t xml:space="preserve">Mary Theobald and Linda Montgomery provided an update on the CBME summit. They shared that we will be w</w:t>
            </w:r>
            <w:r w:rsidDel="00000000" w:rsidR="00000000" w:rsidRPr="00000000">
              <w:rPr>
                <w:color w:val="000000"/>
                <w:sz w:val="24"/>
                <w:szCs w:val="24"/>
                <w:rtl w:val="0"/>
              </w:rPr>
              <w:t xml:space="preserve">restl</w:t>
            </w:r>
            <w:r w:rsidDel="00000000" w:rsidR="00000000" w:rsidRPr="00000000">
              <w:rPr>
                <w:sz w:val="24"/>
                <w:szCs w:val="24"/>
                <w:rtl w:val="0"/>
              </w:rPr>
              <w:t xml:space="preserve">ing</w:t>
            </w:r>
            <w:r w:rsidDel="00000000" w:rsidR="00000000" w:rsidRPr="00000000">
              <w:rPr>
                <w:color w:val="000000"/>
                <w:sz w:val="24"/>
                <w:szCs w:val="24"/>
                <w:rtl w:val="0"/>
              </w:rPr>
              <w:t xml:space="preserve"> with the tension that was uncovered between the desire for standardization and i</w:t>
            </w:r>
            <w:r w:rsidDel="00000000" w:rsidR="00000000" w:rsidRPr="00000000">
              <w:rPr>
                <w:sz w:val="24"/>
                <w:szCs w:val="24"/>
                <w:rtl w:val="0"/>
              </w:rPr>
              <w:t xml:space="preserve">ndividual program flexibility. Standardized </w:t>
            </w:r>
            <w:r w:rsidDel="00000000" w:rsidR="00000000" w:rsidRPr="00000000">
              <w:rPr>
                <w:color w:val="000000"/>
                <w:sz w:val="24"/>
                <w:szCs w:val="24"/>
                <w:rtl w:val="0"/>
              </w:rPr>
              <w:t xml:space="preserve">outcomes would be more equitable, allow use of validated too</w:t>
            </w:r>
            <w:r w:rsidDel="00000000" w:rsidR="00000000" w:rsidRPr="00000000">
              <w:rPr>
                <w:sz w:val="24"/>
                <w:szCs w:val="24"/>
                <w:rtl w:val="0"/>
              </w:rPr>
              <w:t xml:space="preserve">ls, etc. but reduce individual flexibility and creativity.</w:t>
            </w:r>
          </w:p>
        </w:tc>
      </w:tr>
      <w:tr>
        <w:trPr>
          <w:cantSplit w:val="0"/>
          <w:tblHeader w:val="0"/>
        </w:trPr>
        <w:tc>
          <w:tcPr/>
          <w:p w:rsidR="00000000" w:rsidDel="00000000" w:rsidP="00000000" w:rsidRDefault="00000000" w:rsidRPr="00000000" w14:paraId="00000056">
            <w:pPr>
              <w:rPr>
                <w:sz w:val="24"/>
                <w:szCs w:val="24"/>
              </w:rPr>
            </w:pPr>
            <w:r w:rsidDel="00000000" w:rsidR="00000000" w:rsidRPr="00000000">
              <w:rPr>
                <w:sz w:val="24"/>
                <w:szCs w:val="24"/>
                <w:rtl w:val="0"/>
              </w:rPr>
              <w:t xml:space="preserve">Residency Redesign efforts – Part 3: </w:t>
            </w:r>
            <w:r w:rsidDel="00000000" w:rsidR="00000000" w:rsidRPr="00000000">
              <w:rPr>
                <w:color w:val="000000"/>
                <w:sz w:val="24"/>
                <w:szCs w:val="24"/>
                <w:rtl w:val="0"/>
              </w:rPr>
              <w:t xml:space="preserve">RC-FM rep discussed and provided input on what they are working on at their meeting</w:t>
            </w:r>
            <w:r w:rsidDel="00000000" w:rsidR="00000000" w:rsidRPr="00000000">
              <w:rPr>
                <w:rFonts w:ascii="Arial" w:cs="Arial" w:eastAsia="Arial" w:hAnsi="Arial"/>
                <w:i w:val="1"/>
                <w:color w:val="000000"/>
                <w:rtl w:val="0"/>
              </w:rPr>
              <w:t xml:space="preserve"> </w:t>
            </w:r>
            <w:r w:rsidDel="00000000" w:rsidR="00000000" w:rsidRPr="00000000">
              <w:rPr>
                <w:rtl w:val="0"/>
              </w:rPr>
            </w:r>
          </w:p>
        </w:tc>
        <w:tc>
          <w:tcPr/>
          <w:p w:rsidR="00000000" w:rsidDel="00000000" w:rsidP="00000000" w:rsidRDefault="00000000" w:rsidRPr="00000000" w14:paraId="00000057">
            <w:pPr>
              <w:rPr>
                <w:sz w:val="24"/>
                <w:szCs w:val="24"/>
              </w:rPr>
            </w:pPr>
            <w:r w:rsidDel="00000000" w:rsidR="00000000" w:rsidRPr="00000000">
              <w:rPr>
                <w:sz w:val="24"/>
                <w:szCs w:val="24"/>
                <w:rtl w:val="0"/>
              </w:rPr>
              <w:t xml:space="preserve">The representative from the review committee shared the committee understands the disruption of having the new requirements and has already begun to apply significant grace and understanding that this is a period of transition and that we’ll all be learning through this. We want to ensure that programs produce high level and competent physicians and we want to adequately support them through this transition. Some of the major revisions they touched upon will take place in summer of 2024, allowing programs time to prepare for them.</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A">
            <w:pPr>
              <w:rPr>
                <w:sz w:val="24"/>
                <w:szCs w:val="24"/>
              </w:rPr>
            </w:pPr>
            <w:r w:rsidDel="00000000" w:rsidR="00000000" w:rsidRPr="00000000">
              <w:rPr>
                <w:sz w:val="24"/>
                <w:szCs w:val="24"/>
                <w:rtl w:val="0"/>
              </w:rPr>
              <w:t xml:space="preserve">Residency Redesign efforts – Part 4: Next steps</w:t>
            </w:r>
          </w:p>
        </w:tc>
        <w:tc>
          <w:tcPr/>
          <w:p w:rsidR="00000000" w:rsidDel="00000000" w:rsidP="00000000" w:rsidRDefault="00000000" w:rsidRPr="00000000" w14:paraId="0000005B">
            <w:pPr>
              <w:rPr>
                <w:sz w:val="24"/>
                <w:szCs w:val="24"/>
              </w:rPr>
            </w:pPr>
            <w:r w:rsidDel="00000000" w:rsidR="00000000" w:rsidRPr="00000000">
              <w:rPr>
                <w:sz w:val="24"/>
                <w:szCs w:val="24"/>
                <w:rtl w:val="0"/>
              </w:rPr>
              <w:t xml:space="preserve">Linda reviewed the themes that emerged from the discussion:</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numPr>
                <w:ilvl w:val="0"/>
                <w:numId w:val="4"/>
              </w:numPr>
              <w:ind w:left="720" w:hanging="360"/>
              <w:rPr>
                <w:color w:val="000000"/>
                <w:sz w:val="24"/>
                <w:szCs w:val="24"/>
              </w:rPr>
            </w:pPr>
            <w:r w:rsidDel="00000000" w:rsidR="00000000" w:rsidRPr="00000000">
              <w:rPr>
                <w:color w:val="000000"/>
                <w:sz w:val="24"/>
                <w:szCs w:val="24"/>
                <w:rtl w:val="0"/>
              </w:rPr>
              <w:t xml:space="preserve">A call to tighten up the definition of the end product - the outcome of training</w:t>
            </w:r>
          </w:p>
          <w:p w:rsidR="00000000" w:rsidDel="00000000" w:rsidP="00000000" w:rsidRDefault="00000000" w:rsidRPr="00000000" w14:paraId="0000005E">
            <w:pPr>
              <w:numPr>
                <w:ilvl w:val="0"/>
                <w:numId w:val="4"/>
              </w:numPr>
              <w:ind w:left="720" w:hanging="360"/>
              <w:rPr>
                <w:color w:val="000000"/>
                <w:sz w:val="24"/>
                <w:szCs w:val="24"/>
              </w:rPr>
            </w:pPr>
            <w:r w:rsidDel="00000000" w:rsidR="00000000" w:rsidRPr="00000000">
              <w:rPr>
                <w:color w:val="000000"/>
                <w:sz w:val="24"/>
                <w:szCs w:val="24"/>
                <w:rtl w:val="0"/>
              </w:rPr>
              <w:t xml:space="preserve">Respond to questions around: </w:t>
            </w:r>
          </w:p>
          <w:p w:rsidR="00000000" w:rsidDel="00000000" w:rsidP="00000000" w:rsidRDefault="00000000" w:rsidRPr="00000000" w14:paraId="0000005F">
            <w:pPr>
              <w:numPr>
                <w:ilvl w:val="1"/>
                <w:numId w:val="4"/>
              </w:numPr>
              <w:ind w:left="1440" w:hanging="360"/>
              <w:rPr>
                <w:color w:val="000000"/>
                <w:sz w:val="24"/>
                <w:szCs w:val="24"/>
              </w:rPr>
            </w:pPr>
            <w:r w:rsidDel="00000000" w:rsidR="00000000" w:rsidRPr="00000000">
              <w:rPr>
                <w:color w:val="000000"/>
                <w:sz w:val="24"/>
                <w:szCs w:val="24"/>
                <w:rtl w:val="0"/>
              </w:rPr>
              <w:t xml:space="preserve">does the FM RC list the outcomes?</w:t>
            </w:r>
          </w:p>
          <w:p w:rsidR="00000000" w:rsidDel="00000000" w:rsidP="00000000" w:rsidRDefault="00000000" w:rsidRPr="00000000" w14:paraId="00000060">
            <w:pPr>
              <w:numPr>
                <w:ilvl w:val="1"/>
                <w:numId w:val="4"/>
              </w:numPr>
              <w:ind w:left="1440" w:hanging="360"/>
              <w:rPr>
                <w:color w:val="000000"/>
                <w:sz w:val="24"/>
                <w:szCs w:val="24"/>
              </w:rPr>
            </w:pPr>
            <w:r w:rsidDel="00000000" w:rsidR="00000000" w:rsidRPr="00000000">
              <w:rPr>
                <w:color w:val="000000"/>
                <w:sz w:val="24"/>
                <w:szCs w:val="24"/>
                <w:rtl w:val="0"/>
              </w:rPr>
              <w:t xml:space="preserve">how to assess the call for some standardization </w:t>
            </w:r>
          </w:p>
          <w:p w:rsidR="00000000" w:rsidDel="00000000" w:rsidP="00000000" w:rsidRDefault="00000000" w:rsidRPr="00000000" w14:paraId="00000061">
            <w:pPr>
              <w:numPr>
                <w:ilvl w:val="0"/>
                <w:numId w:val="4"/>
              </w:numPr>
              <w:ind w:left="720" w:hanging="360"/>
              <w:rPr>
                <w:color w:val="000000"/>
                <w:sz w:val="24"/>
                <w:szCs w:val="24"/>
              </w:rPr>
            </w:pPr>
            <w:r w:rsidDel="00000000" w:rsidR="00000000" w:rsidRPr="00000000">
              <w:rPr>
                <w:color w:val="000000"/>
                <w:sz w:val="24"/>
                <w:szCs w:val="24"/>
                <w:rtl w:val="0"/>
              </w:rPr>
              <w:t xml:space="preserve">Plan to reach out to AFMRD for program coordinator/directors to be added to the taskforce to get more voices on the standardization question</w:t>
            </w:r>
          </w:p>
          <w:p w:rsidR="00000000" w:rsidDel="00000000" w:rsidP="00000000" w:rsidRDefault="00000000" w:rsidRPr="00000000" w14:paraId="00000062">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rPr>
                <w:sz w:val="24"/>
                <w:szCs w:val="24"/>
              </w:rPr>
            </w:pPr>
            <w:r w:rsidDel="00000000" w:rsidR="00000000" w:rsidRPr="00000000">
              <w:rPr>
                <w:sz w:val="24"/>
                <w:szCs w:val="24"/>
                <w:rtl w:val="0"/>
              </w:rPr>
              <w:t xml:space="preserve">Closing statements</w:t>
            </w:r>
          </w:p>
        </w:tc>
        <w:tc>
          <w:tcPr/>
          <w:p w:rsidR="00000000" w:rsidDel="00000000" w:rsidP="00000000" w:rsidRDefault="00000000" w:rsidRPr="00000000" w14:paraId="00000064">
            <w:pPr>
              <w:rPr>
                <w:sz w:val="24"/>
                <w:szCs w:val="24"/>
              </w:rPr>
            </w:pPr>
            <w:r w:rsidDel="00000000" w:rsidR="00000000" w:rsidRPr="00000000">
              <w:rPr>
                <w:sz w:val="24"/>
                <w:szCs w:val="24"/>
                <w:rtl w:val="0"/>
              </w:rPr>
              <w:t xml:space="preserve">Viv closed out the day, highlighting information on the next in-person meeting.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August 3-5, 2023 (incl the shoulder meetings on the 3rd)</w:t>
            </w:r>
            <w:r w:rsidDel="00000000" w:rsidR="00000000" w:rsidRPr="00000000">
              <w:rPr>
                <w:rtl w:val="0"/>
              </w:rPr>
            </w:r>
          </w:p>
          <w:p w:rsidR="00000000" w:rsidDel="00000000" w:rsidP="00000000" w:rsidRDefault="00000000" w:rsidRPr="00000000" w14:paraId="00000067">
            <w:pPr>
              <w:shd w:fill="ffffff" w:val="clear"/>
              <w:rPr>
                <w:i w:val="1"/>
                <w:sz w:val="24"/>
                <w:szCs w:val="24"/>
              </w:rPr>
            </w:pPr>
            <w:r w:rsidDel="00000000" w:rsidR="00000000" w:rsidRPr="00000000">
              <w:rPr>
                <w:i w:val="1"/>
                <w:sz w:val="24"/>
                <w:szCs w:val="24"/>
                <w:rtl w:val="0"/>
              </w:rPr>
              <w:t xml:space="preserve">Milwaukee Marriott Downtown</w:t>
            </w:r>
          </w:p>
          <w:p w:rsidR="00000000" w:rsidDel="00000000" w:rsidP="00000000" w:rsidRDefault="00000000" w:rsidRPr="00000000" w14:paraId="00000068">
            <w:pPr>
              <w:shd w:fill="ffffff" w:val="clear"/>
              <w:rPr>
                <w:i w:val="1"/>
                <w:sz w:val="24"/>
                <w:szCs w:val="24"/>
              </w:rPr>
            </w:pPr>
            <w:r w:rsidDel="00000000" w:rsidR="00000000" w:rsidRPr="00000000">
              <w:rPr>
                <w:i w:val="1"/>
                <w:sz w:val="24"/>
                <w:szCs w:val="24"/>
                <w:rtl w:val="0"/>
              </w:rPr>
              <w:t xml:space="preserve">323 East Wisconsin Avenue</w:t>
            </w:r>
          </w:p>
          <w:p w:rsidR="00000000" w:rsidDel="00000000" w:rsidP="00000000" w:rsidRDefault="00000000" w:rsidRPr="00000000" w14:paraId="00000069">
            <w:pPr>
              <w:shd w:fill="ffffff" w:val="clear"/>
              <w:rPr>
                <w:i w:val="1"/>
                <w:sz w:val="24"/>
                <w:szCs w:val="24"/>
              </w:rPr>
            </w:pPr>
            <w:r w:rsidDel="00000000" w:rsidR="00000000" w:rsidRPr="00000000">
              <w:rPr>
                <w:i w:val="1"/>
                <w:sz w:val="24"/>
                <w:szCs w:val="24"/>
                <w:rtl w:val="0"/>
              </w:rPr>
              <w:t xml:space="preserve">Milwaukee, WI 53202, US</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Look out for information on hotel and room block soon!</w:t>
            </w:r>
          </w:p>
          <w:p w:rsidR="00000000" w:rsidDel="00000000" w:rsidP="00000000" w:rsidRDefault="00000000" w:rsidRPr="00000000" w14:paraId="0000006C">
            <w:pPr>
              <w:rPr>
                <w:sz w:val="24"/>
                <w:szCs w:val="24"/>
              </w:rPr>
            </w:pPr>
            <w:r w:rsidDel="00000000" w:rsidR="00000000" w:rsidRPr="00000000">
              <w:rPr>
                <w:rtl w:val="0"/>
              </w:rPr>
            </w:r>
          </w:p>
        </w:tc>
      </w:tr>
    </w:tbl>
    <w:p w:rsidR="00000000" w:rsidDel="00000000" w:rsidP="00000000" w:rsidRDefault="00000000" w:rsidRPr="00000000" w14:paraId="0000006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Lato" w:cs="Lato" w:eastAsia="Lato" w:hAnsi="Lato"/>
        <w:b w:val="0"/>
        <w:i w:val="0"/>
        <w:smallCaps w:val="0"/>
        <w:strike w:val="0"/>
        <w:color w:val="595959"/>
        <w:sz w:val="26"/>
        <w:szCs w:val="26"/>
        <w:u w:val="none"/>
        <w:shd w:fill="auto" w:val="clear"/>
        <w:vertAlign w:val="baseline"/>
      </w:rPr>
    </w:lvl>
    <w:lvl w:ilvl="1">
      <w:start w:val="1"/>
      <w:numFmt w:val="bullet"/>
      <w:lvlText w:val="○"/>
      <w:lvlJc w:val="right"/>
      <w:pPr>
        <w:ind w:left="1440" w:hanging="360"/>
      </w:pPr>
      <w:rPr>
        <w:rFonts w:ascii="Lato" w:cs="Lato" w:eastAsia="Lato" w:hAnsi="Lato"/>
        <w:b w:val="0"/>
        <w:i w:val="0"/>
        <w:smallCaps w:val="0"/>
        <w:strike w:val="0"/>
        <w:color w:val="595959"/>
        <w:sz w:val="22"/>
        <w:szCs w:val="22"/>
        <w:u w:val="none"/>
        <w:shd w:fill="auto" w:val="clear"/>
        <w:vertAlign w:val="baseline"/>
      </w:rPr>
    </w:lvl>
    <w:lvl w:ilvl="2">
      <w:start w:val="1"/>
      <w:numFmt w:val="bullet"/>
      <w:lvlText w:val="■"/>
      <w:lvlJc w:val="right"/>
      <w:pPr>
        <w:ind w:left="2160" w:hanging="360"/>
      </w:pPr>
      <w:rPr>
        <w:rFonts w:ascii="Lato" w:cs="Lato" w:eastAsia="Lato" w:hAnsi="Lato"/>
        <w:b w:val="0"/>
        <w:i w:val="0"/>
        <w:smallCaps w:val="0"/>
        <w:strike w:val="0"/>
        <w:color w:val="595959"/>
        <w:sz w:val="22"/>
        <w:szCs w:val="22"/>
        <w:u w:val="none"/>
        <w:shd w:fill="auto" w:val="clear"/>
        <w:vertAlign w:val="baseline"/>
      </w:rPr>
    </w:lvl>
    <w:lvl w:ilvl="3">
      <w:start w:val="1"/>
      <w:numFmt w:val="bullet"/>
      <w:lvlText w:val="●"/>
      <w:lvlJc w:val="right"/>
      <w:pPr>
        <w:ind w:left="2880" w:hanging="360"/>
      </w:pPr>
      <w:rPr>
        <w:rFonts w:ascii="Lato" w:cs="Lato" w:eastAsia="Lato" w:hAnsi="Lato"/>
        <w:b w:val="0"/>
        <w:i w:val="0"/>
        <w:smallCaps w:val="0"/>
        <w:strike w:val="0"/>
        <w:color w:val="595959"/>
        <w:sz w:val="22"/>
        <w:szCs w:val="22"/>
        <w:u w:val="none"/>
        <w:shd w:fill="auto" w:val="clear"/>
        <w:vertAlign w:val="baseline"/>
      </w:rPr>
    </w:lvl>
    <w:lvl w:ilvl="4">
      <w:start w:val="1"/>
      <w:numFmt w:val="bullet"/>
      <w:lvlText w:val="○"/>
      <w:lvlJc w:val="right"/>
      <w:pPr>
        <w:ind w:left="3600" w:hanging="360"/>
      </w:pPr>
      <w:rPr>
        <w:rFonts w:ascii="Lato" w:cs="Lato" w:eastAsia="Lato" w:hAnsi="Lato"/>
        <w:b w:val="0"/>
        <w:i w:val="0"/>
        <w:smallCaps w:val="0"/>
        <w:strike w:val="0"/>
        <w:color w:val="595959"/>
        <w:sz w:val="22"/>
        <w:szCs w:val="22"/>
        <w:u w:val="none"/>
        <w:shd w:fill="auto" w:val="clear"/>
        <w:vertAlign w:val="baseline"/>
      </w:rPr>
    </w:lvl>
    <w:lvl w:ilvl="5">
      <w:start w:val="1"/>
      <w:numFmt w:val="bullet"/>
      <w:lvlText w:val="■"/>
      <w:lvlJc w:val="right"/>
      <w:pPr>
        <w:ind w:left="4320" w:hanging="360"/>
      </w:pPr>
      <w:rPr>
        <w:rFonts w:ascii="Lato" w:cs="Lato" w:eastAsia="Lato" w:hAnsi="Lato"/>
        <w:b w:val="0"/>
        <w:i w:val="0"/>
        <w:smallCaps w:val="0"/>
        <w:strike w:val="0"/>
        <w:color w:val="595959"/>
        <w:sz w:val="22"/>
        <w:szCs w:val="22"/>
        <w:u w:val="none"/>
        <w:shd w:fill="auto" w:val="clear"/>
        <w:vertAlign w:val="baseline"/>
      </w:rPr>
    </w:lvl>
    <w:lvl w:ilvl="6">
      <w:start w:val="1"/>
      <w:numFmt w:val="bullet"/>
      <w:lvlText w:val="●"/>
      <w:lvlJc w:val="right"/>
      <w:pPr>
        <w:ind w:left="5040" w:hanging="360"/>
      </w:pPr>
      <w:rPr>
        <w:rFonts w:ascii="Lato" w:cs="Lato" w:eastAsia="Lato" w:hAnsi="Lato"/>
        <w:b w:val="0"/>
        <w:i w:val="0"/>
        <w:smallCaps w:val="0"/>
        <w:strike w:val="0"/>
        <w:color w:val="595959"/>
        <w:sz w:val="22"/>
        <w:szCs w:val="22"/>
        <w:u w:val="none"/>
        <w:shd w:fill="auto" w:val="clear"/>
        <w:vertAlign w:val="baseline"/>
      </w:rPr>
    </w:lvl>
    <w:lvl w:ilvl="7">
      <w:start w:val="1"/>
      <w:numFmt w:val="bullet"/>
      <w:lvlText w:val="○"/>
      <w:lvlJc w:val="right"/>
      <w:pPr>
        <w:ind w:left="5760" w:hanging="360"/>
      </w:pPr>
      <w:rPr>
        <w:rFonts w:ascii="Lato" w:cs="Lato" w:eastAsia="Lato" w:hAnsi="Lato"/>
        <w:b w:val="0"/>
        <w:i w:val="0"/>
        <w:smallCaps w:val="0"/>
        <w:strike w:val="0"/>
        <w:color w:val="595959"/>
        <w:sz w:val="22"/>
        <w:szCs w:val="22"/>
        <w:u w:val="none"/>
        <w:shd w:fill="auto" w:val="clear"/>
        <w:vertAlign w:val="baseline"/>
      </w:rPr>
    </w:lvl>
    <w:lvl w:ilvl="8">
      <w:start w:val="1"/>
      <w:numFmt w:val="bullet"/>
      <w:lvlText w:val="■"/>
      <w:lvlJc w:val="right"/>
      <w:pPr>
        <w:ind w:left="6480" w:hanging="360"/>
      </w:pPr>
      <w:rPr>
        <w:rFonts w:ascii="Lato" w:cs="Lato" w:eastAsia="Lato" w:hAnsi="Lato"/>
        <w:b w:val="0"/>
        <w:i w:val="0"/>
        <w:smallCaps w:val="0"/>
        <w:strike w:val="0"/>
        <w:color w:val="595959"/>
        <w:sz w:val="22"/>
        <w:szCs w:val="22"/>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A2BD4"/>
    <w:rPr>
      <w:color w:val="0563c1" w:themeColor="hyperlink"/>
      <w:u w:val="single"/>
    </w:rPr>
  </w:style>
  <w:style w:type="character" w:styleId="UnresolvedMention">
    <w:name w:val="Unresolved Mention"/>
    <w:basedOn w:val="DefaultParagraphFont"/>
    <w:uiPriority w:val="99"/>
    <w:semiHidden w:val="1"/>
    <w:unhideWhenUsed w:val="1"/>
    <w:rsid w:val="005A2BD4"/>
    <w:rPr>
      <w:color w:val="605e5c"/>
      <w:shd w:color="auto" w:fill="e1dfdd" w:val="clear"/>
    </w:rPr>
  </w:style>
  <w:style w:type="paragraph" w:styleId="NormalWeb">
    <w:name w:val="Normal (Web)"/>
    <w:basedOn w:val="Normal"/>
    <w:uiPriority w:val="99"/>
    <w:unhideWhenUsed w:val="1"/>
    <w:rsid w:val="005A2BD4"/>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5A2B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8124F"/>
    <w:pPr>
      <w:ind w:left="720"/>
      <w:contextualSpacing w:val="1"/>
    </w:pPr>
  </w:style>
  <w:style w:type="character" w:styleId="CommentReference">
    <w:name w:val="annotation reference"/>
    <w:basedOn w:val="DefaultParagraphFont"/>
    <w:uiPriority w:val="99"/>
    <w:semiHidden w:val="1"/>
    <w:unhideWhenUsed w:val="1"/>
    <w:rsid w:val="00467654"/>
    <w:rPr>
      <w:sz w:val="16"/>
      <w:szCs w:val="16"/>
    </w:rPr>
  </w:style>
  <w:style w:type="paragraph" w:styleId="CommentText">
    <w:name w:val="annotation text"/>
    <w:basedOn w:val="Normal"/>
    <w:link w:val="CommentTextChar"/>
    <w:uiPriority w:val="99"/>
    <w:semiHidden w:val="1"/>
    <w:unhideWhenUsed w:val="1"/>
    <w:rsid w:val="00467654"/>
    <w:pPr>
      <w:spacing w:line="240" w:lineRule="auto"/>
    </w:pPr>
    <w:rPr>
      <w:sz w:val="20"/>
      <w:szCs w:val="20"/>
    </w:rPr>
  </w:style>
  <w:style w:type="character" w:styleId="CommentTextChar" w:customStyle="1">
    <w:name w:val="Comment Text Char"/>
    <w:basedOn w:val="DefaultParagraphFont"/>
    <w:link w:val="CommentText"/>
    <w:uiPriority w:val="99"/>
    <w:semiHidden w:val="1"/>
    <w:rsid w:val="00467654"/>
    <w:rPr>
      <w:sz w:val="20"/>
      <w:szCs w:val="20"/>
    </w:rPr>
  </w:style>
  <w:style w:type="paragraph" w:styleId="CommentSubject">
    <w:name w:val="annotation subject"/>
    <w:basedOn w:val="CommentText"/>
    <w:next w:val="CommentText"/>
    <w:link w:val="CommentSubjectChar"/>
    <w:uiPriority w:val="99"/>
    <w:semiHidden w:val="1"/>
    <w:unhideWhenUsed w:val="1"/>
    <w:rsid w:val="00467654"/>
    <w:rPr>
      <w:b w:val="1"/>
      <w:bCs w:val="1"/>
    </w:rPr>
  </w:style>
  <w:style w:type="character" w:styleId="CommentSubjectChar" w:customStyle="1">
    <w:name w:val="Comment Subject Char"/>
    <w:basedOn w:val="CommentTextChar"/>
    <w:link w:val="CommentSubject"/>
    <w:uiPriority w:val="99"/>
    <w:semiHidden w:val="1"/>
    <w:rsid w:val="00467654"/>
    <w:rPr>
      <w:b w:val="1"/>
      <w:bCs w:val="1"/>
      <w:sz w:val="20"/>
      <w:szCs w:val="20"/>
    </w:rPr>
  </w:style>
  <w:style w:type="paragraph" w:styleId="BalloonText">
    <w:name w:val="Balloon Text"/>
    <w:basedOn w:val="Normal"/>
    <w:link w:val="BalloonTextChar"/>
    <w:uiPriority w:val="99"/>
    <w:semiHidden w:val="1"/>
    <w:unhideWhenUsed w:val="1"/>
    <w:rsid w:val="0046765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6765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8pLZhOwc5qjIRfkfioURVYNDgx363spc5O0i6FcYCE0/edit#slide=id.p" TargetMode="External"/><Relationship Id="rId10" Type="http://schemas.openxmlformats.org/officeDocument/2006/relationships/hyperlink" Target="https://napcrg.org/conferences/fmlc/about-fmlc/#10604" TargetMode="External"/><Relationship Id="rId13" Type="http://schemas.openxmlformats.org/officeDocument/2006/relationships/hyperlink" Target="https://www.racgp.org.au/afp/200806/24942" TargetMode="External"/><Relationship Id="rId12" Type="http://schemas.openxmlformats.org/officeDocument/2006/relationships/hyperlink" Target="mailto:Tim.OldeHartman@radboudumc.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dejonghe@stfm.org" TargetMode="External"/><Relationship Id="rId15" Type="http://schemas.openxmlformats.org/officeDocument/2006/relationships/hyperlink" Target="https://www.ncbi.nlm.nih.gov/pmc/articles/PMC5999248/" TargetMode="External"/><Relationship Id="rId14" Type="http://schemas.openxmlformats.org/officeDocument/2006/relationships/hyperlink" Target="mailto:jbbrown@uwo.ca" TargetMode="External"/><Relationship Id="rId17" Type="http://schemas.openxmlformats.org/officeDocument/2006/relationships/hyperlink" Target="https://onlinelibrary.wiley.com/doi/10.1111/acem.14367" TargetMode="External"/><Relationship Id="rId16" Type="http://schemas.openxmlformats.org/officeDocument/2006/relationships/hyperlink" Target="mailto:Deborah.Diercks@UTSouthwestern.edu" TargetMode="External"/><Relationship Id="rId5" Type="http://schemas.openxmlformats.org/officeDocument/2006/relationships/styles" Target="styles.xml"/><Relationship Id="rId19" Type="http://schemas.openxmlformats.org/officeDocument/2006/relationships/hyperlink" Target="https://drive.google.com/file/d/116fUJrGhefy824s51plf2gvf_VZ4nqCY/view?usp=share_link" TargetMode="External"/><Relationship Id="rId6" Type="http://schemas.openxmlformats.org/officeDocument/2006/relationships/customXml" Target="../customXML/item1.xml"/><Relationship Id="rId18" Type="http://schemas.openxmlformats.org/officeDocument/2006/relationships/hyperlink" Target="https://napcrg.org/conferences/fmlc/about-fmlc/#10649" TargetMode="External"/><Relationship Id="rId7" Type="http://schemas.openxmlformats.org/officeDocument/2006/relationships/hyperlink" Target="https://napcrg.org/conferences/fmlc/about-fmlc/#10606" TargetMode="External"/><Relationship Id="rId8" Type="http://schemas.openxmlformats.org/officeDocument/2006/relationships/hyperlink" Target="https://docs.google.com/spreadsheets/d/1AvhavVhcgCQl9Ws-mt5bSMTW1sKsBmRj/edit#gid=3460123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ILHBTmDduw8TWfyxYTGCEm7Gew==">AMUW2mVMq0lG9Ui+QZQQAYC7Jkci3uKL/DInCcPoYSPaQYgSOU1Z+yR/ZLjL6tKHWo8PhVAPFjNST6RhTp/a/ZSM3FTlboApDmqKgd017y25G3WkoZ4Tv7WmlIZ4Bp/u9/YildTJWugDsRgk1PgFEIt6eQ0iE0Zqhg==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2023-03-27T17:06:00Z</dcterms:created>
  <dc:creator>Samantha Elwood</dc:creator>
</cp:coreProperties>
</file>